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2" w:rsidRDefault="007E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4.95pt;margin-top:-17.55pt;width:240.7pt;height:89.25pt;z-index:251658240" strokecolor="white">
            <v:textbox style="mso-next-textbox:#_x0000_s1026">
              <w:txbxContent>
                <w:p w:rsidR="00EE69A2" w:rsidRDefault="00EE69A2" w:rsidP="00EE6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E69A2" w:rsidRPr="00EE69A2" w:rsidRDefault="00EE69A2" w:rsidP="00EE6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EE69A2" w:rsidRPr="00EE69A2" w:rsidRDefault="00EE69A2" w:rsidP="00EE69A2">
      <w:pPr>
        <w:rPr>
          <w:rFonts w:ascii="Times New Roman" w:hAnsi="Times New Roman" w:cs="Times New Roman"/>
          <w:sz w:val="28"/>
          <w:szCs w:val="28"/>
        </w:rPr>
      </w:pPr>
    </w:p>
    <w:p w:rsidR="00EE69A2" w:rsidRPr="00EE69A2" w:rsidRDefault="007E6519" w:rsidP="00EE6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96.85pt;margin-top:18.4pt;width:240.7pt;height:62.25pt;z-index:251659264" strokecolor="white">
            <v:textbox style="mso-next-textbox:#_x0000_s1027">
              <w:txbxContent>
                <w:p w:rsidR="00EE69A2" w:rsidRDefault="00EE69A2" w:rsidP="00EE6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EE69A2" w:rsidRDefault="00EE69A2" w:rsidP="00EE6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787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="00787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EE69A2" w:rsidRPr="00EE69A2" w:rsidRDefault="00EE69A2" w:rsidP="00EE69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</w:p>
    <w:p w:rsidR="00EE69A2" w:rsidRDefault="00EE69A2" w:rsidP="00EE69A2">
      <w:pPr>
        <w:rPr>
          <w:rFonts w:ascii="Times New Roman" w:hAnsi="Times New Roman" w:cs="Times New Roman"/>
          <w:sz w:val="28"/>
          <w:szCs w:val="28"/>
        </w:rPr>
      </w:pPr>
    </w:p>
    <w:p w:rsidR="00EE69A2" w:rsidRDefault="00EE69A2" w:rsidP="00EE69A2">
      <w:pPr>
        <w:pStyle w:val="ConsPlusNormal"/>
        <w:jc w:val="center"/>
        <w:rPr>
          <w:sz w:val="22"/>
        </w:rPr>
      </w:pPr>
    </w:p>
    <w:p w:rsidR="00EE69A2" w:rsidRDefault="00EE69A2" w:rsidP="00EE69A2">
      <w:pPr>
        <w:pStyle w:val="ConsPlusNormal"/>
        <w:jc w:val="center"/>
        <w:rPr>
          <w:sz w:val="22"/>
        </w:rPr>
      </w:pPr>
    </w:p>
    <w:p w:rsidR="00EE69A2" w:rsidRPr="00EE69A2" w:rsidRDefault="00EE69A2" w:rsidP="00EE6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13"/>
      <w:bookmarkEnd w:id="0"/>
      <w:r w:rsidRPr="00EE69A2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EE69A2" w:rsidRDefault="00EE69A2" w:rsidP="008D1D9D">
      <w:pPr>
        <w:pStyle w:val="ConsPlusNonformat"/>
        <w:jc w:val="center"/>
      </w:pPr>
      <w:r w:rsidRPr="00EE69A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E69A2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EE6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9A2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EE6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69A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E69A2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E69A2">
        <w:rPr>
          <w:rFonts w:ascii="Times New Roman" w:hAnsi="Times New Roman" w:cs="Times New Roman"/>
          <w:b/>
          <w:sz w:val="28"/>
          <w:szCs w:val="28"/>
        </w:rPr>
        <w:t>убсидия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179"/>
        <w:gridCol w:w="1559"/>
        <w:gridCol w:w="1418"/>
      </w:tblGrid>
      <w:tr w:rsidR="00EE69A2" w:rsidTr="00EE69A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E69A2" w:rsidRDefault="00EE69A2" w:rsidP="0095189C">
            <w:pPr>
              <w:pStyle w:val="ConsPlusNormal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EE69A2" w:rsidRDefault="00EE69A2" w:rsidP="0095189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9A2" w:rsidRDefault="00EE69A2" w:rsidP="0095189C">
            <w:pPr>
              <w:pStyle w:val="ConsPlusNormal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9A2" w:rsidRPr="008D1D9D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Коды</w:t>
            </w:r>
          </w:p>
        </w:tc>
      </w:tr>
      <w:tr w:rsidR="00EE69A2" w:rsidRPr="008D1D9D" w:rsidTr="00EE69A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E69A2" w:rsidRPr="008D1D9D" w:rsidRDefault="00EE69A2" w:rsidP="00EE69A2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Наименование бюджета муниц</w:t>
            </w:r>
            <w:r w:rsidRPr="008D1D9D">
              <w:rPr>
                <w:sz w:val="24"/>
                <w:szCs w:val="24"/>
              </w:rPr>
              <w:t>и</w:t>
            </w:r>
            <w:r w:rsidRPr="008D1D9D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EE69A2" w:rsidRPr="008D1D9D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  <w:p w:rsidR="00EE69A2" w:rsidRPr="008D1D9D" w:rsidRDefault="00EE69A2" w:rsidP="0095189C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69A2" w:rsidRPr="008D1D9D" w:rsidRDefault="00EE69A2" w:rsidP="00EE69A2">
            <w:pPr>
              <w:pStyle w:val="ConsPlusNormal"/>
              <w:jc w:val="right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9A2" w:rsidRPr="008D1D9D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69A2" w:rsidRDefault="00EE69A2" w:rsidP="00EE6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820"/>
        <w:gridCol w:w="851"/>
        <w:gridCol w:w="1134"/>
        <w:gridCol w:w="992"/>
        <w:gridCol w:w="1134"/>
        <w:gridCol w:w="1134"/>
        <w:gridCol w:w="992"/>
        <w:gridCol w:w="993"/>
        <w:gridCol w:w="1134"/>
        <w:gridCol w:w="1134"/>
        <w:gridCol w:w="992"/>
      </w:tblGrid>
      <w:tr w:rsidR="00EE69A2" w:rsidTr="008D1D9D">
        <w:tc>
          <w:tcPr>
            <w:tcW w:w="1644" w:type="dxa"/>
            <w:vMerge w:val="restart"/>
          </w:tcPr>
          <w:p w:rsidR="00EE69A2" w:rsidRPr="00EE69A2" w:rsidRDefault="00EE69A2" w:rsidP="00EE69A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Наименование мероприятия (направл</w:t>
            </w:r>
            <w:r w:rsidRPr="00EE69A2">
              <w:rPr>
                <w:sz w:val="24"/>
                <w:szCs w:val="24"/>
              </w:rPr>
              <w:t>е</w:t>
            </w:r>
            <w:r w:rsidRPr="00EE69A2">
              <w:rPr>
                <w:sz w:val="24"/>
                <w:szCs w:val="24"/>
              </w:rPr>
              <w:t>ния)</w:t>
            </w:r>
            <w:r w:rsidRPr="00EE69A2">
              <w:rPr>
                <w:rStyle w:val="a5"/>
                <w:sz w:val="24"/>
                <w:szCs w:val="24"/>
              </w:rPr>
              <w:footnoteReference w:id="1"/>
            </w:r>
            <w:r w:rsidRPr="00EE6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vMerge w:val="restart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851" w:type="dxa"/>
            <w:vMerge w:val="restart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Код строки</w:t>
            </w:r>
          </w:p>
        </w:tc>
        <w:tc>
          <w:tcPr>
            <w:tcW w:w="9639" w:type="dxa"/>
            <w:gridSpan w:val="9"/>
          </w:tcPr>
          <w:p w:rsidR="00EE69A2" w:rsidRPr="00EE69A2" w:rsidRDefault="00EE69A2" w:rsidP="00EE69A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Объем финансового обеспечения на реализацию мероприятия, предусмотренный в местном бюджете, руб.</w:t>
            </w:r>
          </w:p>
        </w:tc>
      </w:tr>
      <w:tr w:rsidR="00EE69A2" w:rsidTr="008D1D9D">
        <w:tc>
          <w:tcPr>
            <w:tcW w:w="1644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EE69A2" w:rsidRPr="00EE69A2" w:rsidRDefault="00EE69A2" w:rsidP="00EE69A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 xml:space="preserve">в том числе средства </w:t>
            </w:r>
            <w:r>
              <w:rPr>
                <w:sz w:val="24"/>
                <w:szCs w:val="24"/>
              </w:rPr>
              <w:t>с</w:t>
            </w:r>
            <w:r w:rsidRPr="00EE69A2">
              <w:rPr>
                <w:sz w:val="24"/>
                <w:szCs w:val="24"/>
              </w:rPr>
              <w:t>убс</w:t>
            </w:r>
            <w:r w:rsidRPr="00EE69A2">
              <w:rPr>
                <w:sz w:val="24"/>
                <w:szCs w:val="24"/>
              </w:rPr>
              <w:t>и</w:t>
            </w:r>
            <w:r w:rsidRPr="00EE69A2">
              <w:rPr>
                <w:sz w:val="24"/>
                <w:szCs w:val="24"/>
              </w:rPr>
              <w:t xml:space="preserve">дии из </w:t>
            </w:r>
            <w:r>
              <w:rPr>
                <w:sz w:val="24"/>
                <w:szCs w:val="24"/>
              </w:rPr>
              <w:t>областного</w:t>
            </w:r>
            <w:r w:rsidRPr="00EE69A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3260" w:type="dxa"/>
            <w:gridSpan w:val="3"/>
          </w:tcPr>
          <w:p w:rsidR="00EE69A2" w:rsidRPr="00EE69A2" w:rsidRDefault="00EE69A2" w:rsidP="00EE69A2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 xml:space="preserve">уровень </w:t>
            </w:r>
            <w:proofErr w:type="spellStart"/>
            <w:r w:rsidRPr="00EE69A2">
              <w:rPr>
                <w:sz w:val="24"/>
                <w:szCs w:val="24"/>
              </w:rPr>
              <w:t>софинансирования</w:t>
            </w:r>
            <w:proofErr w:type="spellEnd"/>
            <w:proofErr w:type="gramStart"/>
            <w:r>
              <w:rPr>
                <w:rStyle w:val="a5"/>
                <w:sz w:val="24"/>
                <w:szCs w:val="24"/>
              </w:rPr>
              <w:footnoteReference w:id="2"/>
            </w:r>
            <w:r w:rsidRPr="00EE69A2">
              <w:rPr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8D1D9D" w:rsidTr="008D1D9D">
        <w:tc>
          <w:tcPr>
            <w:tcW w:w="1644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gridSpan w:val="2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gridSpan w:val="2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плановый период</w:t>
            </w:r>
          </w:p>
        </w:tc>
      </w:tr>
      <w:tr w:rsidR="008D1D9D" w:rsidTr="008D1D9D">
        <w:tc>
          <w:tcPr>
            <w:tcW w:w="1644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69A2" w:rsidRPr="00EE69A2" w:rsidRDefault="00EE69A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993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20__ г.</w:t>
            </w:r>
          </w:p>
        </w:tc>
      </w:tr>
      <w:tr w:rsidR="008D1D9D" w:rsidTr="008D1D9D">
        <w:tc>
          <w:tcPr>
            <w:tcW w:w="164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12</w:t>
            </w:r>
          </w:p>
        </w:tc>
      </w:tr>
      <w:tr w:rsidR="008D1D9D" w:rsidTr="008D1D9D">
        <w:tc>
          <w:tcPr>
            <w:tcW w:w="164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1D9D" w:rsidTr="008D1D9D">
        <w:tc>
          <w:tcPr>
            <w:tcW w:w="1644" w:type="dxa"/>
            <w:tcBorders>
              <w:bottom w:val="single" w:sz="4" w:space="0" w:color="auto"/>
            </w:tcBorders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1D9D" w:rsidTr="008D1D9D"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9A2" w:rsidRPr="00EE69A2" w:rsidRDefault="00EE69A2" w:rsidP="0095189C">
            <w:pPr>
              <w:pStyle w:val="ConsPlusNormal"/>
              <w:jc w:val="right"/>
              <w:rPr>
                <w:sz w:val="24"/>
                <w:szCs w:val="24"/>
              </w:rPr>
            </w:pPr>
            <w:r w:rsidRPr="00EE69A2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69A2" w:rsidRPr="00EE69A2" w:rsidRDefault="00EE69A2" w:rsidP="0095189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E69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E69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EE69A2" w:rsidRPr="00EE69A2" w:rsidRDefault="00EE69A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E69A2">
              <w:rPr>
                <w:sz w:val="24"/>
                <w:szCs w:val="24"/>
              </w:rPr>
              <w:t>x</w:t>
            </w:r>
            <w:proofErr w:type="spellEnd"/>
          </w:p>
        </w:tc>
      </w:tr>
    </w:tbl>
    <w:p w:rsidR="008D1D9D" w:rsidRDefault="008D1D9D" w:rsidP="00EE69A2"/>
    <w:p w:rsidR="008D1D9D" w:rsidRPr="008D1D9D" w:rsidRDefault="008D1D9D" w:rsidP="008D1D9D"/>
    <w:p w:rsidR="008D1D9D" w:rsidRDefault="00775B63" w:rsidP="0077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75B63" w:rsidRDefault="00775B63" w:rsidP="00775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B63" w:rsidRDefault="00775B63" w:rsidP="00775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775B63" w:rsidRPr="00775B63" w:rsidRDefault="00775B63" w:rsidP="00775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775B63" w:rsidRPr="00775B63" w:rsidRDefault="00775B63" w:rsidP="0077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9D" w:rsidRPr="008D1D9D" w:rsidRDefault="008D1D9D" w:rsidP="008D1D9D"/>
    <w:p w:rsidR="008D1D9D" w:rsidRPr="008D1D9D" w:rsidRDefault="008D1D9D" w:rsidP="008D1D9D"/>
    <w:p w:rsidR="008D1D9D" w:rsidRPr="008D1D9D" w:rsidRDefault="008D1D9D" w:rsidP="008D1D9D"/>
    <w:p w:rsidR="008D1D9D" w:rsidRDefault="008D1D9D" w:rsidP="008D1D9D"/>
    <w:p w:rsidR="002E5B3E" w:rsidRPr="00EE69A2" w:rsidRDefault="00123882" w:rsidP="008D1D9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sectPr w:rsidR="002E5B3E" w:rsidRPr="00EE69A2" w:rsidSect="008D1D9D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82" w:rsidRDefault="00123882" w:rsidP="00EE69A2">
      <w:pPr>
        <w:spacing w:after="0" w:line="240" w:lineRule="auto"/>
      </w:pPr>
      <w:r>
        <w:separator/>
      </w:r>
    </w:p>
  </w:endnote>
  <w:endnote w:type="continuationSeparator" w:id="0">
    <w:p w:rsidR="00123882" w:rsidRDefault="00123882" w:rsidP="00E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82" w:rsidRDefault="00123882" w:rsidP="00EE69A2">
      <w:pPr>
        <w:spacing w:after="0" w:line="240" w:lineRule="auto"/>
      </w:pPr>
      <w:r>
        <w:separator/>
      </w:r>
    </w:p>
  </w:footnote>
  <w:footnote w:type="continuationSeparator" w:id="0">
    <w:p w:rsidR="00123882" w:rsidRDefault="00123882" w:rsidP="00EE69A2">
      <w:pPr>
        <w:spacing w:after="0" w:line="240" w:lineRule="auto"/>
      </w:pPr>
      <w:r>
        <w:continuationSeparator/>
      </w:r>
    </w:p>
  </w:footnote>
  <w:footnote w:id="1">
    <w:p w:rsidR="00EE69A2" w:rsidRDefault="00EE69A2" w:rsidP="008D1D9D">
      <w:pPr>
        <w:autoSpaceDE w:val="0"/>
        <w:autoSpaceDN w:val="0"/>
        <w:adjustRightInd w:val="0"/>
        <w:spacing w:after="0" w:line="240" w:lineRule="auto"/>
        <w:jc w:val="both"/>
      </w:pPr>
      <w:r w:rsidRPr="008D1D9D">
        <w:rPr>
          <w:rStyle w:val="a5"/>
          <w:rFonts w:ascii="Times New Roman" w:hAnsi="Times New Roman" w:cs="Times New Roman"/>
        </w:rPr>
        <w:footnoteRef/>
      </w:r>
      <w:r w:rsidRPr="008D1D9D">
        <w:rPr>
          <w:rFonts w:ascii="Times New Roman" w:hAnsi="Times New Roman" w:cs="Times New Roman"/>
        </w:rPr>
        <w:t xml:space="preserve"> </w:t>
      </w:r>
      <w:r w:rsidR="008D1D9D" w:rsidRPr="008D1D9D">
        <w:rPr>
          <w:rFonts w:ascii="Times New Roman" w:hAnsi="Times New Roman" w:cs="Times New Roman"/>
          <w:sz w:val="20"/>
          <w:szCs w:val="20"/>
        </w:rPr>
        <w:t>Указывается мероприятие (направление) в рамках расходного обязательства</w:t>
      </w:r>
      <w:r w:rsidR="008D1D9D">
        <w:rPr>
          <w:rFonts w:ascii="Times New Roman" w:hAnsi="Times New Roman" w:cs="Times New Roman"/>
          <w:sz w:val="20"/>
          <w:szCs w:val="20"/>
        </w:rPr>
        <w:t xml:space="preserve"> Получателя</w:t>
      </w:r>
      <w:r w:rsidR="008D1D9D" w:rsidRPr="008D1D9D">
        <w:rPr>
          <w:rFonts w:ascii="Times New Roman" w:hAnsi="Times New Roman" w:cs="Times New Roman"/>
          <w:sz w:val="20"/>
          <w:szCs w:val="20"/>
        </w:rPr>
        <w:t xml:space="preserve">, в целях </w:t>
      </w:r>
      <w:proofErr w:type="spellStart"/>
      <w:r w:rsidR="008D1D9D" w:rsidRPr="008D1D9D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8D1D9D" w:rsidRPr="008D1D9D">
        <w:rPr>
          <w:rFonts w:ascii="Times New Roman" w:hAnsi="Times New Roman" w:cs="Times New Roman"/>
          <w:sz w:val="20"/>
          <w:szCs w:val="20"/>
        </w:rPr>
        <w:t xml:space="preserve"> которого предоставляется </w:t>
      </w:r>
      <w:r w:rsidR="008D1D9D">
        <w:rPr>
          <w:rFonts w:ascii="Times New Roman" w:hAnsi="Times New Roman" w:cs="Times New Roman"/>
          <w:sz w:val="20"/>
          <w:szCs w:val="20"/>
        </w:rPr>
        <w:t>с</w:t>
      </w:r>
      <w:r w:rsidR="008D1D9D" w:rsidRPr="008D1D9D">
        <w:rPr>
          <w:rFonts w:ascii="Times New Roman" w:hAnsi="Times New Roman" w:cs="Times New Roman"/>
          <w:sz w:val="20"/>
          <w:szCs w:val="20"/>
        </w:rPr>
        <w:t xml:space="preserve">убсидия в соответствии с Правилами предоставления субсидий. </w:t>
      </w:r>
    </w:p>
  </w:footnote>
  <w:footnote w:id="2">
    <w:p w:rsidR="00EE69A2" w:rsidRPr="008D1D9D" w:rsidRDefault="00EE69A2" w:rsidP="008D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D9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D1D9D">
        <w:rPr>
          <w:rFonts w:ascii="Times New Roman" w:hAnsi="Times New Roman" w:cs="Times New Roman"/>
          <w:sz w:val="20"/>
          <w:szCs w:val="20"/>
        </w:rPr>
        <w:t xml:space="preserve"> </w:t>
      </w:r>
      <w:r w:rsidR="008D1D9D">
        <w:rPr>
          <w:rFonts w:ascii="Times New Roman" w:hAnsi="Times New Roman" w:cs="Times New Roman"/>
          <w:sz w:val="20"/>
          <w:szCs w:val="20"/>
        </w:rPr>
        <w:t xml:space="preserve">Заполняется при наличии в Соглашении условия, предусмотренного подпунктом «б» пункта 2.2 Типовой формы соглашения. Указывается уровень </w:t>
      </w:r>
      <w:proofErr w:type="spellStart"/>
      <w:r w:rsidR="008D1D9D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8D1D9D">
        <w:rPr>
          <w:rFonts w:ascii="Times New Roman" w:hAnsi="Times New Roman" w:cs="Times New Roman"/>
          <w:sz w:val="20"/>
          <w:szCs w:val="20"/>
        </w:rPr>
        <w:t xml:space="preserve">, выраженный в процентах от объема расходного обязательства  Получателя по каждому отдельному мероприятию. </w:t>
      </w:r>
      <w:proofErr w:type="gramStart"/>
      <w:r w:rsidR="008D1D9D">
        <w:rPr>
          <w:rFonts w:ascii="Times New Roman" w:hAnsi="Times New Roman" w:cs="Times New Roman"/>
          <w:sz w:val="20"/>
          <w:szCs w:val="20"/>
        </w:rPr>
        <w:t xml:space="preserve">В случае если бюджетные ассигнования в местном  на исполнение расходного обязательства  Получателя в объеме, превышающем размер расходного обязательства Получателя, в целях </w:t>
      </w:r>
      <w:proofErr w:type="spellStart"/>
      <w:r w:rsidR="008D1D9D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8D1D9D">
        <w:rPr>
          <w:rFonts w:ascii="Times New Roman" w:hAnsi="Times New Roman" w:cs="Times New Roman"/>
          <w:sz w:val="20"/>
          <w:szCs w:val="20"/>
        </w:rPr>
        <w:t xml:space="preserve"> которого предо</w:t>
      </w:r>
      <w:r w:rsidR="008D1D9D">
        <w:rPr>
          <w:rFonts w:ascii="Times New Roman" w:hAnsi="Times New Roman" w:cs="Times New Roman"/>
          <w:sz w:val="20"/>
          <w:szCs w:val="20"/>
        </w:rPr>
        <w:t>с</w:t>
      </w:r>
      <w:r w:rsidR="008D1D9D">
        <w:rPr>
          <w:rFonts w:ascii="Times New Roman" w:hAnsi="Times New Roman" w:cs="Times New Roman"/>
          <w:sz w:val="20"/>
          <w:szCs w:val="20"/>
        </w:rPr>
        <w:t>тавляется субсидия, не предусмотрены по иным кодам классификации расходов бюджетов, отличным от кодов классификации расходов бюджетов, по которым пред</w:t>
      </w:r>
      <w:r w:rsidR="008D1D9D">
        <w:rPr>
          <w:rFonts w:ascii="Times New Roman" w:hAnsi="Times New Roman" w:cs="Times New Roman"/>
          <w:sz w:val="20"/>
          <w:szCs w:val="20"/>
        </w:rPr>
        <w:t>у</w:t>
      </w:r>
      <w:r w:rsidR="008D1D9D">
        <w:rPr>
          <w:rFonts w:ascii="Times New Roman" w:hAnsi="Times New Roman" w:cs="Times New Roman"/>
          <w:sz w:val="20"/>
          <w:szCs w:val="20"/>
        </w:rPr>
        <w:t xml:space="preserve">смотрены бюджетные ассигнования на исполнение расходного обязательства получателя, </w:t>
      </w:r>
      <w:proofErr w:type="spellStart"/>
      <w:r w:rsidR="008D1D9D">
        <w:rPr>
          <w:rFonts w:ascii="Times New Roman" w:hAnsi="Times New Roman" w:cs="Times New Roman"/>
          <w:sz w:val="20"/>
          <w:szCs w:val="20"/>
        </w:rPr>
        <w:t>софинансируемого</w:t>
      </w:r>
      <w:proofErr w:type="spellEnd"/>
      <w:r w:rsidR="008D1D9D">
        <w:rPr>
          <w:rFonts w:ascii="Times New Roman" w:hAnsi="Times New Roman" w:cs="Times New Roman"/>
          <w:sz w:val="20"/>
          <w:szCs w:val="20"/>
        </w:rPr>
        <w:t xml:space="preserve"> из  областного бюджета, указываются уровни </w:t>
      </w:r>
      <w:proofErr w:type="spellStart"/>
      <w:r w:rsidR="008D1D9D">
        <w:rPr>
          <w:rFonts w:ascii="Times New Roman" w:hAnsi="Times New Roman" w:cs="Times New Roman"/>
          <w:sz w:val="20"/>
          <w:szCs w:val="20"/>
        </w:rPr>
        <w:t>софинанс</w:t>
      </w:r>
      <w:r w:rsidR="008D1D9D">
        <w:rPr>
          <w:rFonts w:ascii="Times New Roman" w:hAnsi="Times New Roman" w:cs="Times New Roman"/>
          <w:sz w:val="20"/>
          <w:szCs w:val="20"/>
        </w:rPr>
        <w:t>и</w:t>
      </w:r>
      <w:r w:rsidR="008D1D9D">
        <w:rPr>
          <w:rFonts w:ascii="Times New Roman" w:hAnsi="Times New Roman" w:cs="Times New Roman"/>
          <w:sz w:val="20"/>
          <w:szCs w:val="20"/>
        </w:rPr>
        <w:t>рования</w:t>
      </w:r>
      <w:proofErr w:type="spellEnd"/>
      <w:r w:rsidR="008D1D9D">
        <w:rPr>
          <w:rFonts w:ascii="Times New Roman" w:hAnsi="Times New Roman" w:cs="Times New Roman"/>
          <w:sz w:val="20"/>
          <w:szCs w:val="20"/>
        </w:rPr>
        <w:t>, рассчитываемые исходя из общего</w:t>
      </w:r>
      <w:proofErr w:type="gramEnd"/>
      <w:r w:rsidR="008D1D9D">
        <w:rPr>
          <w:rFonts w:ascii="Times New Roman" w:hAnsi="Times New Roman" w:cs="Times New Roman"/>
          <w:sz w:val="20"/>
          <w:szCs w:val="20"/>
        </w:rPr>
        <w:t xml:space="preserve"> объема бюджетных ассигнований, предусмотренных в местном бюджете на исполнение расходного обязательства, и суммы субсидии.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4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1D9D" w:rsidRPr="008D1D9D" w:rsidRDefault="007E651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1D9D" w:rsidRPr="008D1D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6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1D9D" w:rsidRDefault="008D1D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A2"/>
    <w:rsid w:val="00123882"/>
    <w:rsid w:val="001B63D5"/>
    <w:rsid w:val="00271585"/>
    <w:rsid w:val="002F7E56"/>
    <w:rsid w:val="003373A8"/>
    <w:rsid w:val="00350572"/>
    <w:rsid w:val="00550A48"/>
    <w:rsid w:val="005E54A8"/>
    <w:rsid w:val="005F4645"/>
    <w:rsid w:val="00612DDA"/>
    <w:rsid w:val="00690F9D"/>
    <w:rsid w:val="00775B63"/>
    <w:rsid w:val="00787ECE"/>
    <w:rsid w:val="007E6519"/>
    <w:rsid w:val="00803607"/>
    <w:rsid w:val="008D1D9D"/>
    <w:rsid w:val="00B47D4D"/>
    <w:rsid w:val="00B74005"/>
    <w:rsid w:val="00C43A66"/>
    <w:rsid w:val="00D22286"/>
    <w:rsid w:val="00EE69A2"/>
    <w:rsid w:val="00F74604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E69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69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9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69A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9D"/>
  </w:style>
  <w:style w:type="paragraph" w:styleId="a8">
    <w:name w:val="footer"/>
    <w:basedOn w:val="a"/>
    <w:link w:val="a9"/>
    <w:uiPriority w:val="99"/>
    <w:semiHidden/>
    <w:unhideWhenUsed/>
    <w:rsid w:val="008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FA75-A5E6-4129-919F-EE4D38A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6</cp:revision>
  <dcterms:created xsi:type="dcterms:W3CDTF">2019-09-02T09:23:00Z</dcterms:created>
  <dcterms:modified xsi:type="dcterms:W3CDTF">2019-09-04T12:44:00Z</dcterms:modified>
</cp:coreProperties>
</file>