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A4" w:rsidRDefault="002527A8">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196.7pt;margin-top:-1.95pt;width:273.2pt;height:180.05pt;z-index:251658240" strokecolor="white">
            <v:textbox style="mso-next-textbox:#_x0000_s1026">
              <w:txbxContent>
                <w:p w:rsidR="005066A4" w:rsidRPr="008710EC" w:rsidRDefault="005066A4" w:rsidP="005066A4">
                  <w:pPr>
                    <w:spacing w:after="0" w:line="240" w:lineRule="auto"/>
                    <w:rPr>
                      <w:rFonts w:ascii="Times New Roman" w:hAnsi="Times New Roman" w:cs="Times New Roman"/>
                    </w:rPr>
                  </w:pPr>
                  <w:r w:rsidRPr="008710EC">
                    <w:rPr>
                      <w:rFonts w:ascii="Times New Roman" w:hAnsi="Times New Roman" w:cs="Times New Roman"/>
                    </w:rPr>
                    <w:t>Приложение № 2</w:t>
                  </w:r>
                </w:p>
                <w:p w:rsidR="005066A4" w:rsidRPr="008710EC" w:rsidRDefault="002E5A52" w:rsidP="005066A4">
                  <w:pPr>
                    <w:spacing w:after="0" w:line="240" w:lineRule="auto"/>
                    <w:rPr>
                      <w:rFonts w:ascii="Times New Roman" w:hAnsi="Times New Roman" w:cs="Times New Roman"/>
                    </w:rPr>
                  </w:pPr>
                  <w:r>
                    <w:rPr>
                      <w:rFonts w:ascii="Times New Roman" w:eastAsia="Times New Roman" w:hAnsi="Times New Roman" w:cs="Times New Roman"/>
                      <w:lang w:eastAsia="ru-RU"/>
                    </w:rPr>
                    <w:t>к</w:t>
                  </w:r>
                  <w:bookmarkStart w:id="0" w:name="_GoBack"/>
                  <w:bookmarkEnd w:id="0"/>
                  <w:r w:rsidR="008710EC" w:rsidRPr="008710EC">
                    <w:rPr>
                      <w:rFonts w:ascii="Times New Roman" w:eastAsia="Times New Roman" w:hAnsi="Times New Roman" w:cs="Times New Roman"/>
                      <w:lang w:eastAsia="ru-RU"/>
                    </w:rPr>
                    <w:t xml:space="preserve">  Порядку </w:t>
                  </w:r>
                  <w:r w:rsidR="005066A4" w:rsidRPr="008710EC">
                    <w:rPr>
                      <w:rFonts w:ascii="Times New Roman" w:eastAsia="Times New Roman" w:hAnsi="Times New Roman" w:cs="Times New Roman"/>
                      <w:lang w:eastAsia="ru-RU"/>
                    </w:rPr>
                    <w:t xml:space="preserve">отражения Управлением Федерального казначейства по Курской области операций </w:t>
                  </w:r>
                  <w:r w:rsidR="008710EC">
                    <w:rPr>
                      <w:rFonts w:ascii="Times New Roman" w:eastAsia="Times New Roman" w:hAnsi="Times New Roman" w:cs="Times New Roman"/>
                      <w:lang w:eastAsia="ru-RU"/>
                    </w:rPr>
                    <w:t xml:space="preserve">                      </w:t>
                  </w:r>
                  <w:r w:rsidR="005066A4" w:rsidRPr="008710EC">
                    <w:rPr>
                      <w:rFonts w:ascii="Times New Roman" w:eastAsia="Times New Roman" w:hAnsi="Times New Roman" w:cs="Times New Roman"/>
                      <w:lang w:eastAsia="ru-RU"/>
                    </w:rPr>
                    <w:t>по зачислению и списанию средств юридических лиц,</w:t>
                  </w:r>
                  <w:r w:rsidR="008710EC" w:rsidRPr="008710EC">
                    <w:rPr>
                      <w:rFonts w:ascii="Times New Roman" w:eastAsia="Times New Roman" w:hAnsi="Times New Roman" w:cs="Times New Roman"/>
                      <w:lang w:eastAsia="ru-RU"/>
                    </w:rPr>
                    <w:t xml:space="preserve">              </w:t>
                  </w:r>
                  <w:r w:rsidR="005066A4" w:rsidRPr="008710EC">
                    <w:rPr>
                      <w:rFonts w:ascii="Times New Roman" w:eastAsia="Times New Roman" w:hAnsi="Times New Roman" w:cs="Times New Roman"/>
                      <w:lang w:eastAsia="ru-RU"/>
                    </w:rPr>
                    <w:t xml:space="preserve"> не являющихся участниками бюджетного процесса, бюджетными и автономными учреждениями Курской области и</w:t>
                  </w:r>
                  <w:r w:rsidR="005066A4" w:rsidRPr="008710EC">
                    <w:rPr>
                      <w:rFonts w:ascii="Times New Roman" w:eastAsia="Times New Roman" w:hAnsi="Times New Roman" w:cs="Times New Roman"/>
                      <w:lang w:val="en-US" w:eastAsia="ru-RU"/>
                    </w:rPr>
                    <w:t> </w:t>
                  </w:r>
                  <w:r w:rsidR="005066A4" w:rsidRPr="008710EC">
                    <w:rPr>
                      <w:rFonts w:ascii="Times New Roman" w:eastAsia="Times New Roman" w:hAnsi="Times New Roman" w:cs="Times New Roman"/>
                      <w:lang w:eastAsia="ru-RU"/>
                    </w:rPr>
                    <w:t>осуществления санкционирования расходов юридических лиц, источником финансового обеспечения которых являются средства областного бюджета</w:t>
                  </w:r>
                  <w:r w:rsidR="005066A4" w:rsidRPr="008710EC">
                    <w:rPr>
                      <w:rFonts w:ascii="Times New Roman" w:hAnsi="Times New Roman" w:cs="Times New Roman"/>
                    </w:rPr>
                    <w:t>, утвержденному приказом</w:t>
                  </w:r>
                  <w:r w:rsidR="00BA77F5">
                    <w:rPr>
                      <w:rFonts w:ascii="Times New Roman" w:hAnsi="Times New Roman" w:cs="Times New Roman"/>
                    </w:rPr>
                    <w:t xml:space="preserve">                  </w:t>
                  </w:r>
                  <w:r w:rsidR="005066A4" w:rsidRPr="008710EC">
                    <w:rPr>
                      <w:rFonts w:ascii="Times New Roman" w:hAnsi="Times New Roman" w:cs="Times New Roman"/>
                    </w:rPr>
                    <w:t xml:space="preserve"> комитета финансов Курской области</w:t>
                  </w:r>
                </w:p>
                <w:p w:rsidR="005066A4" w:rsidRPr="008710EC" w:rsidRDefault="005066A4" w:rsidP="005066A4">
                  <w:pPr>
                    <w:spacing w:line="240" w:lineRule="auto"/>
                    <w:rPr>
                      <w:rFonts w:ascii="Times New Roman" w:hAnsi="Times New Roman" w:cs="Times New Roman"/>
                    </w:rPr>
                  </w:pPr>
                  <w:r w:rsidRPr="008710EC">
                    <w:rPr>
                      <w:rFonts w:ascii="Times New Roman" w:hAnsi="Times New Roman" w:cs="Times New Roman"/>
                    </w:rPr>
                    <w:t xml:space="preserve">от </w:t>
                  </w:r>
                  <w:r w:rsidR="00105687">
                    <w:rPr>
                      <w:rFonts w:ascii="Times New Roman" w:hAnsi="Times New Roman" w:cs="Times New Roman"/>
                    </w:rPr>
                    <w:t xml:space="preserve"> 03.12.2021</w:t>
                  </w:r>
                  <w:r w:rsidRPr="008710EC">
                    <w:rPr>
                      <w:rFonts w:ascii="Times New Roman" w:hAnsi="Times New Roman" w:cs="Times New Roman"/>
                    </w:rPr>
                    <w:t xml:space="preserve"> № </w:t>
                  </w:r>
                  <w:r w:rsidR="00105687">
                    <w:rPr>
                      <w:rFonts w:ascii="Times New Roman" w:hAnsi="Times New Roman" w:cs="Times New Roman"/>
                    </w:rPr>
                    <w:t>187</w:t>
                  </w:r>
                  <w:r w:rsidRPr="008710EC">
                    <w:rPr>
                      <w:rFonts w:ascii="Times New Roman" w:hAnsi="Times New Roman" w:cs="Times New Roman"/>
                    </w:rPr>
                    <w:t>н</w:t>
                  </w:r>
                </w:p>
                <w:p w:rsidR="005066A4" w:rsidRPr="0013622F" w:rsidRDefault="005066A4" w:rsidP="005066A4">
                  <w:pPr>
                    <w:spacing w:after="0" w:line="240" w:lineRule="auto"/>
                    <w:rPr>
                      <w:rFonts w:ascii="Times New Roman" w:hAnsi="Times New Roman" w:cs="Times New Roman"/>
                      <w:sz w:val="28"/>
                      <w:szCs w:val="28"/>
                    </w:rPr>
                  </w:pPr>
                  <w:r w:rsidRPr="0013622F">
                    <w:rPr>
                      <w:rFonts w:ascii="Times New Roman" w:hAnsi="Times New Roman" w:cs="Times New Roman"/>
                      <w:sz w:val="28"/>
                      <w:szCs w:val="28"/>
                    </w:rPr>
                    <w:t xml:space="preserve"> </w:t>
                  </w:r>
                </w:p>
              </w:txbxContent>
            </v:textbox>
          </v:shape>
        </w:pict>
      </w:r>
    </w:p>
    <w:p w:rsidR="005066A4" w:rsidRPr="005066A4" w:rsidRDefault="005066A4" w:rsidP="005066A4">
      <w:pPr>
        <w:rPr>
          <w:rFonts w:ascii="Times New Roman" w:hAnsi="Times New Roman" w:cs="Times New Roman"/>
          <w:sz w:val="28"/>
          <w:szCs w:val="28"/>
        </w:rPr>
      </w:pPr>
    </w:p>
    <w:p w:rsidR="005066A4" w:rsidRPr="005066A4" w:rsidRDefault="005066A4" w:rsidP="005066A4">
      <w:pPr>
        <w:rPr>
          <w:rFonts w:ascii="Times New Roman" w:hAnsi="Times New Roman" w:cs="Times New Roman"/>
          <w:sz w:val="28"/>
          <w:szCs w:val="28"/>
        </w:rPr>
      </w:pPr>
    </w:p>
    <w:p w:rsidR="005066A4" w:rsidRPr="005066A4" w:rsidRDefault="005066A4" w:rsidP="005066A4">
      <w:pPr>
        <w:rPr>
          <w:rFonts w:ascii="Times New Roman" w:hAnsi="Times New Roman" w:cs="Times New Roman"/>
          <w:sz w:val="28"/>
          <w:szCs w:val="28"/>
        </w:rPr>
      </w:pPr>
    </w:p>
    <w:p w:rsidR="005066A4" w:rsidRPr="005066A4" w:rsidRDefault="005066A4" w:rsidP="005066A4">
      <w:pPr>
        <w:rPr>
          <w:rFonts w:ascii="Times New Roman" w:hAnsi="Times New Roman" w:cs="Times New Roman"/>
          <w:sz w:val="28"/>
          <w:szCs w:val="28"/>
        </w:rPr>
      </w:pPr>
    </w:p>
    <w:p w:rsidR="005066A4" w:rsidRPr="005066A4" w:rsidRDefault="005066A4" w:rsidP="005066A4">
      <w:pPr>
        <w:rPr>
          <w:rFonts w:ascii="Times New Roman" w:hAnsi="Times New Roman" w:cs="Times New Roman"/>
          <w:sz w:val="28"/>
          <w:szCs w:val="28"/>
        </w:rPr>
      </w:pPr>
    </w:p>
    <w:p w:rsidR="008710EC" w:rsidRDefault="008710EC" w:rsidP="005066A4">
      <w:pPr>
        <w:pStyle w:val="ConsPlusTitle"/>
        <w:jc w:val="center"/>
        <w:rPr>
          <w:rFonts w:ascii="Times New Roman" w:hAnsi="Times New Roman" w:cs="Times New Roman"/>
          <w:sz w:val="24"/>
          <w:szCs w:val="24"/>
        </w:rPr>
      </w:pPr>
    </w:p>
    <w:p w:rsidR="005066A4" w:rsidRPr="005066A4" w:rsidRDefault="005066A4" w:rsidP="005066A4">
      <w:pPr>
        <w:pStyle w:val="ConsPlusTitle"/>
        <w:jc w:val="center"/>
        <w:rPr>
          <w:rFonts w:ascii="Times New Roman" w:hAnsi="Times New Roman" w:cs="Times New Roman"/>
          <w:sz w:val="24"/>
          <w:szCs w:val="24"/>
        </w:rPr>
      </w:pPr>
      <w:r w:rsidRPr="005066A4">
        <w:rPr>
          <w:rFonts w:ascii="Times New Roman" w:hAnsi="Times New Roman" w:cs="Times New Roman"/>
          <w:sz w:val="24"/>
          <w:szCs w:val="24"/>
        </w:rPr>
        <w:t>ИСТОЧНИКИ ПОСТУПЛЕНИЙ СРЕДСТВ</w:t>
      </w:r>
    </w:p>
    <w:p w:rsidR="005066A4" w:rsidRPr="007E6E15" w:rsidRDefault="005066A4" w:rsidP="005066A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7597"/>
        <w:gridCol w:w="1340"/>
      </w:tblGrid>
      <w:tr w:rsidR="005066A4" w:rsidRPr="005D50AF" w:rsidTr="008710EC">
        <w:trPr>
          <w:trHeight w:val="261"/>
          <w:tblHeader/>
        </w:trPr>
        <w:tc>
          <w:tcPr>
            <w:tcW w:w="623" w:type="dxa"/>
            <w:vMerge w:val="restart"/>
          </w:tcPr>
          <w:p w:rsidR="005066A4" w:rsidRPr="005066A4" w:rsidRDefault="005066A4" w:rsidP="005D494B">
            <w:pPr>
              <w:pStyle w:val="ConsPlusNormal"/>
              <w:jc w:val="center"/>
              <w:rPr>
                <w:rFonts w:ascii="Times New Roman" w:hAnsi="Times New Roman" w:cs="Times New Roman"/>
                <w:b/>
                <w:szCs w:val="22"/>
              </w:rPr>
            </w:pPr>
            <w:r w:rsidRPr="005066A4">
              <w:rPr>
                <w:rFonts w:ascii="Times New Roman" w:hAnsi="Times New Roman" w:cs="Times New Roman"/>
                <w:b/>
                <w:szCs w:val="22"/>
              </w:rPr>
              <w:t xml:space="preserve">№ </w:t>
            </w:r>
            <w:proofErr w:type="gramStart"/>
            <w:r w:rsidRPr="005066A4">
              <w:rPr>
                <w:rFonts w:ascii="Times New Roman" w:hAnsi="Times New Roman" w:cs="Times New Roman"/>
                <w:b/>
                <w:szCs w:val="22"/>
              </w:rPr>
              <w:t>п</w:t>
            </w:r>
            <w:proofErr w:type="gramEnd"/>
            <w:r w:rsidRPr="005066A4">
              <w:rPr>
                <w:rFonts w:ascii="Times New Roman" w:hAnsi="Times New Roman" w:cs="Times New Roman"/>
                <w:b/>
                <w:szCs w:val="22"/>
              </w:rPr>
              <w:t>/п</w:t>
            </w:r>
          </w:p>
        </w:tc>
        <w:tc>
          <w:tcPr>
            <w:tcW w:w="8937" w:type="dxa"/>
            <w:gridSpan w:val="2"/>
          </w:tcPr>
          <w:p w:rsidR="005066A4" w:rsidRPr="005066A4" w:rsidRDefault="005066A4" w:rsidP="005D494B">
            <w:pPr>
              <w:pStyle w:val="ConsPlusNormal"/>
              <w:jc w:val="center"/>
              <w:rPr>
                <w:rFonts w:ascii="Times New Roman" w:hAnsi="Times New Roman" w:cs="Times New Roman"/>
                <w:b/>
                <w:szCs w:val="22"/>
              </w:rPr>
            </w:pPr>
            <w:r w:rsidRPr="005066A4">
              <w:rPr>
                <w:rFonts w:ascii="Times New Roman" w:hAnsi="Times New Roman" w:cs="Times New Roman"/>
                <w:b/>
                <w:szCs w:val="22"/>
              </w:rPr>
              <w:t>Источники поступлений средств</w:t>
            </w:r>
          </w:p>
        </w:tc>
      </w:tr>
      <w:tr w:rsidR="005066A4" w:rsidRPr="005D50AF" w:rsidTr="005D494B">
        <w:trPr>
          <w:tblHeader/>
        </w:trPr>
        <w:tc>
          <w:tcPr>
            <w:tcW w:w="623" w:type="dxa"/>
            <w:vMerge/>
          </w:tcPr>
          <w:p w:rsidR="005066A4" w:rsidRPr="005066A4" w:rsidRDefault="005066A4" w:rsidP="005D494B">
            <w:pPr>
              <w:rPr>
                <w:rFonts w:ascii="Times New Roman" w:hAnsi="Times New Roman" w:cs="Times New Roman"/>
                <w:b/>
              </w:rPr>
            </w:pPr>
          </w:p>
        </w:tc>
        <w:tc>
          <w:tcPr>
            <w:tcW w:w="7597" w:type="dxa"/>
          </w:tcPr>
          <w:p w:rsidR="005066A4" w:rsidRPr="005066A4" w:rsidRDefault="005066A4" w:rsidP="005D494B">
            <w:pPr>
              <w:pStyle w:val="ConsPlusNormal"/>
              <w:jc w:val="center"/>
              <w:rPr>
                <w:rFonts w:ascii="Times New Roman" w:hAnsi="Times New Roman" w:cs="Times New Roman"/>
                <w:b/>
                <w:szCs w:val="22"/>
              </w:rPr>
            </w:pPr>
            <w:r w:rsidRPr="005066A4">
              <w:rPr>
                <w:rFonts w:ascii="Times New Roman" w:hAnsi="Times New Roman" w:cs="Times New Roman"/>
                <w:b/>
                <w:szCs w:val="22"/>
              </w:rPr>
              <w:t>наименование</w:t>
            </w:r>
          </w:p>
        </w:tc>
        <w:tc>
          <w:tcPr>
            <w:tcW w:w="1340" w:type="dxa"/>
          </w:tcPr>
          <w:p w:rsidR="005066A4" w:rsidRPr="005066A4" w:rsidRDefault="005066A4" w:rsidP="005D494B">
            <w:pPr>
              <w:pStyle w:val="ConsPlusNormal"/>
              <w:jc w:val="center"/>
              <w:rPr>
                <w:rFonts w:ascii="Times New Roman" w:hAnsi="Times New Roman" w:cs="Times New Roman"/>
                <w:b/>
                <w:szCs w:val="22"/>
              </w:rPr>
            </w:pPr>
            <w:r w:rsidRPr="005066A4">
              <w:rPr>
                <w:rFonts w:ascii="Times New Roman" w:hAnsi="Times New Roman" w:cs="Times New Roman"/>
                <w:b/>
                <w:szCs w:val="22"/>
              </w:rPr>
              <w:t>код</w:t>
            </w:r>
          </w:p>
        </w:tc>
      </w:tr>
      <w:tr w:rsidR="005066A4" w:rsidRPr="005D50AF" w:rsidTr="005066A4">
        <w:trPr>
          <w:trHeight w:val="129"/>
          <w:tblHeader/>
        </w:trPr>
        <w:tc>
          <w:tcPr>
            <w:tcW w:w="623" w:type="dxa"/>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1</w:t>
            </w:r>
          </w:p>
        </w:tc>
        <w:tc>
          <w:tcPr>
            <w:tcW w:w="7597" w:type="dxa"/>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2</w:t>
            </w:r>
          </w:p>
        </w:tc>
        <w:tc>
          <w:tcPr>
            <w:tcW w:w="1340" w:type="dxa"/>
          </w:tcPr>
          <w:p w:rsidR="005066A4" w:rsidRPr="005066A4" w:rsidRDefault="005066A4" w:rsidP="005D494B">
            <w:pPr>
              <w:pStyle w:val="ConsPlusNormal"/>
              <w:jc w:val="center"/>
              <w:rPr>
                <w:rFonts w:ascii="Times New Roman" w:hAnsi="Times New Roman" w:cs="Times New Roman"/>
                <w:szCs w:val="22"/>
              </w:rPr>
            </w:pPr>
            <w:bookmarkStart w:id="1" w:name="P649"/>
            <w:bookmarkEnd w:id="1"/>
            <w:r w:rsidRPr="005066A4">
              <w:rPr>
                <w:rFonts w:ascii="Times New Roman" w:hAnsi="Times New Roman" w:cs="Times New Roman"/>
                <w:szCs w:val="22"/>
              </w:rPr>
              <w:t>3</w:t>
            </w:r>
          </w:p>
        </w:tc>
      </w:tr>
      <w:tr w:rsidR="005066A4" w:rsidRPr="005D50AF" w:rsidTr="005D494B">
        <w:tc>
          <w:tcPr>
            <w:tcW w:w="623" w:type="dxa"/>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1.</w:t>
            </w:r>
          </w:p>
        </w:tc>
        <w:tc>
          <w:tcPr>
            <w:tcW w:w="7597" w:type="dxa"/>
          </w:tcPr>
          <w:p w:rsidR="005066A4" w:rsidRPr="005066A4" w:rsidRDefault="005066A4" w:rsidP="005D494B">
            <w:pPr>
              <w:pStyle w:val="ConsPlusNormal"/>
              <w:jc w:val="both"/>
              <w:rPr>
                <w:rFonts w:ascii="Times New Roman" w:hAnsi="Times New Roman" w:cs="Times New Roman"/>
                <w:szCs w:val="22"/>
              </w:rPr>
            </w:pPr>
            <w:r w:rsidRPr="005066A4">
              <w:rPr>
                <w:rFonts w:ascii="Times New Roman" w:hAnsi="Times New Roman" w:cs="Times New Roman"/>
                <w:szCs w:val="22"/>
              </w:rPr>
              <w:t>Субсидии юридическим лицам (за исключением субсидий федеральным бюджетным и автономным учреждениям)</w:t>
            </w:r>
          </w:p>
        </w:tc>
        <w:tc>
          <w:tcPr>
            <w:tcW w:w="1340" w:type="dxa"/>
            <w:vAlign w:val="center"/>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7100</w:t>
            </w:r>
          </w:p>
        </w:tc>
      </w:tr>
      <w:tr w:rsidR="005066A4" w:rsidRPr="005D50AF" w:rsidTr="005D494B">
        <w:tc>
          <w:tcPr>
            <w:tcW w:w="623" w:type="dxa"/>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2.</w:t>
            </w:r>
          </w:p>
        </w:tc>
        <w:tc>
          <w:tcPr>
            <w:tcW w:w="7597" w:type="dxa"/>
          </w:tcPr>
          <w:p w:rsidR="005066A4" w:rsidRPr="005066A4" w:rsidRDefault="005066A4" w:rsidP="00573AF6">
            <w:pPr>
              <w:pStyle w:val="ConsPlusNormal"/>
              <w:jc w:val="both"/>
              <w:rPr>
                <w:rFonts w:ascii="Times New Roman" w:hAnsi="Times New Roman" w:cs="Times New Roman"/>
                <w:szCs w:val="22"/>
              </w:rPr>
            </w:pPr>
            <w:proofErr w:type="gramStart"/>
            <w:r w:rsidRPr="005066A4">
              <w:rPr>
                <w:rFonts w:ascii="Times New Roman" w:hAnsi="Times New Roman" w:cs="Times New Roman"/>
                <w:szCs w:val="22"/>
              </w:rPr>
              <w:t>Субсидии юридическим лицам (за исключением субсидий бюджетным и</w:t>
            </w:r>
            <w:r w:rsidR="00573AF6">
              <w:rPr>
                <w:rFonts w:ascii="Times New Roman" w:hAnsi="Times New Roman" w:cs="Times New Roman"/>
                <w:szCs w:val="22"/>
              </w:rPr>
              <w:t> </w:t>
            </w:r>
            <w:r w:rsidRPr="005066A4">
              <w:rPr>
                <w:rFonts w:ascii="Times New Roman" w:hAnsi="Times New Roman" w:cs="Times New Roman"/>
                <w:szCs w:val="22"/>
              </w:rPr>
              <w:t>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w:t>
            </w:r>
            <w:r w:rsidR="00573AF6">
              <w:rPr>
                <w:rFonts w:ascii="Times New Roman" w:hAnsi="Times New Roman" w:cs="Times New Roman"/>
                <w:szCs w:val="22"/>
              </w:rPr>
              <w:t> </w:t>
            </w:r>
            <w:proofErr w:type="spellStart"/>
            <w:r w:rsidRPr="005066A4">
              <w:rPr>
                <w:rFonts w:ascii="Times New Roman" w:hAnsi="Times New Roman" w:cs="Times New Roman"/>
                <w:szCs w:val="22"/>
              </w:rPr>
              <w:t>софинансирование</w:t>
            </w:r>
            <w:proofErr w:type="spellEnd"/>
            <w:r w:rsidRPr="005066A4">
              <w:rPr>
                <w:rFonts w:ascii="Times New Roman" w:hAnsi="Times New Roman" w:cs="Times New Roman"/>
                <w:szCs w:val="22"/>
              </w:rPr>
              <w:t xml:space="preserve"> капитальных вложений в объекты государственной собственности субъектов</w:t>
            </w:r>
            <w:proofErr w:type="gramEnd"/>
            <w:r w:rsidRPr="005066A4">
              <w:rPr>
                <w:rFonts w:ascii="Times New Roman" w:hAnsi="Times New Roman" w:cs="Times New Roman"/>
                <w:szCs w:val="22"/>
              </w:rPr>
              <w:t xml:space="preserve"> Российской Федерации (муниципальной собственности)</w:t>
            </w:r>
          </w:p>
        </w:tc>
        <w:tc>
          <w:tcPr>
            <w:tcW w:w="1340" w:type="dxa"/>
            <w:vAlign w:val="center"/>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7700</w:t>
            </w:r>
          </w:p>
        </w:tc>
      </w:tr>
      <w:tr w:rsidR="005066A4" w:rsidRPr="005D50AF" w:rsidTr="008710EC">
        <w:trPr>
          <w:trHeight w:val="958"/>
        </w:trPr>
        <w:tc>
          <w:tcPr>
            <w:tcW w:w="623" w:type="dxa"/>
          </w:tcPr>
          <w:p w:rsidR="005066A4" w:rsidRPr="005066A4" w:rsidRDefault="005066A4" w:rsidP="005D494B">
            <w:pPr>
              <w:pStyle w:val="ConsPlusNormal"/>
              <w:jc w:val="center"/>
              <w:rPr>
                <w:rFonts w:ascii="Times New Roman" w:hAnsi="Times New Roman" w:cs="Times New Roman"/>
                <w:szCs w:val="22"/>
              </w:rPr>
            </w:pPr>
            <w:r>
              <w:rPr>
                <w:rFonts w:ascii="Times New Roman" w:hAnsi="Times New Roman" w:cs="Times New Roman"/>
                <w:szCs w:val="22"/>
                <w:lang w:val="en-US"/>
              </w:rPr>
              <w:t>3</w:t>
            </w:r>
            <w:r w:rsidRPr="005066A4">
              <w:rPr>
                <w:rFonts w:ascii="Times New Roman" w:hAnsi="Times New Roman" w:cs="Times New Roman"/>
                <w:szCs w:val="22"/>
              </w:rPr>
              <w:t>.</w:t>
            </w:r>
          </w:p>
        </w:tc>
        <w:tc>
          <w:tcPr>
            <w:tcW w:w="7597" w:type="dxa"/>
          </w:tcPr>
          <w:p w:rsidR="005066A4" w:rsidRPr="005066A4" w:rsidRDefault="005066A4" w:rsidP="005D494B">
            <w:pPr>
              <w:pStyle w:val="ConsPlusNormal"/>
              <w:jc w:val="both"/>
              <w:rPr>
                <w:rFonts w:ascii="Times New Roman" w:hAnsi="Times New Roman" w:cs="Times New Roman"/>
                <w:szCs w:val="22"/>
              </w:rPr>
            </w:pPr>
            <w:r w:rsidRPr="005066A4">
              <w:rPr>
                <w:rFonts w:ascii="Times New Roman" w:hAnsi="Times New Roman" w:cs="Times New Roman"/>
                <w:szCs w:val="22"/>
              </w:rPr>
              <w:t>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1340" w:type="dxa"/>
            <w:vAlign w:val="center"/>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7800</w:t>
            </w:r>
          </w:p>
        </w:tc>
      </w:tr>
      <w:tr w:rsidR="005066A4" w:rsidRPr="005D50AF" w:rsidTr="005D494B">
        <w:tc>
          <w:tcPr>
            <w:tcW w:w="623" w:type="dxa"/>
            <w:vAlign w:val="center"/>
          </w:tcPr>
          <w:p w:rsidR="005066A4" w:rsidRPr="005066A4" w:rsidRDefault="005066A4" w:rsidP="005D494B">
            <w:pPr>
              <w:pStyle w:val="ConsPlusNormal"/>
              <w:jc w:val="center"/>
              <w:rPr>
                <w:rFonts w:ascii="Times New Roman" w:hAnsi="Times New Roman" w:cs="Times New Roman"/>
                <w:szCs w:val="22"/>
              </w:rPr>
            </w:pPr>
            <w:r>
              <w:rPr>
                <w:rFonts w:ascii="Times New Roman" w:hAnsi="Times New Roman" w:cs="Times New Roman"/>
                <w:szCs w:val="22"/>
                <w:lang w:val="en-US"/>
              </w:rPr>
              <w:t>4</w:t>
            </w:r>
            <w:r w:rsidRPr="005066A4">
              <w:rPr>
                <w:rFonts w:ascii="Times New Roman" w:hAnsi="Times New Roman" w:cs="Times New Roman"/>
                <w:szCs w:val="22"/>
              </w:rPr>
              <w:t>.</w:t>
            </w:r>
          </w:p>
        </w:tc>
        <w:tc>
          <w:tcPr>
            <w:tcW w:w="7597" w:type="dxa"/>
          </w:tcPr>
          <w:p w:rsidR="005066A4" w:rsidRPr="005066A4" w:rsidRDefault="005066A4" w:rsidP="005D494B">
            <w:pPr>
              <w:pStyle w:val="ConsPlusNormal"/>
              <w:jc w:val="both"/>
              <w:rPr>
                <w:rFonts w:ascii="Times New Roman" w:hAnsi="Times New Roman" w:cs="Times New Roman"/>
                <w:szCs w:val="22"/>
              </w:rPr>
            </w:pPr>
            <w:r w:rsidRPr="005066A4">
              <w:rPr>
                <w:rFonts w:ascii="Times New Roman" w:hAnsi="Times New Roman" w:cs="Times New Roman"/>
                <w:szCs w:val="22"/>
              </w:rPr>
              <w:t>Средства финансово-хозяйственной деятельности</w:t>
            </w:r>
          </w:p>
        </w:tc>
        <w:tc>
          <w:tcPr>
            <w:tcW w:w="1340" w:type="dxa"/>
            <w:vAlign w:val="center"/>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7901</w:t>
            </w:r>
          </w:p>
        </w:tc>
      </w:tr>
      <w:tr w:rsidR="005066A4" w:rsidRPr="005D50AF" w:rsidTr="005D494B">
        <w:tc>
          <w:tcPr>
            <w:tcW w:w="623" w:type="dxa"/>
          </w:tcPr>
          <w:p w:rsidR="005066A4" w:rsidRPr="005066A4" w:rsidRDefault="005066A4" w:rsidP="005D494B">
            <w:pPr>
              <w:pStyle w:val="ConsPlusNormal"/>
              <w:jc w:val="center"/>
              <w:rPr>
                <w:rFonts w:ascii="Times New Roman" w:hAnsi="Times New Roman" w:cs="Times New Roman"/>
                <w:szCs w:val="22"/>
              </w:rPr>
            </w:pPr>
            <w:r>
              <w:rPr>
                <w:rFonts w:ascii="Times New Roman" w:hAnsi="Times New Roman" w:cs="Times New Roman"/>
                <w:szCs w:val="22"/>
                <w:lang w:val="en-US"/>
              </w:rPr>
              <w:t>5</w:t>
            </w:r>
            <w:r w:rsidRPr="005066A4">
              <w:rPr>
                <w:rFonts w:ascii="Times New Roman" w:hAnsi="Times New Roman" w:cs="Times New Roman"/>
                <w:szCs w:val="22"/>
              </w:rPr>
              <w:t>.</w:t>
            </w:r>
          </w:p>
        </w:tc>
        <w:tc>
          <w:tcPr>
            <w:tcW w:w="7597" w:type="dxa"/>
          </w:tcPr>
          <w:p w:rsidR="005066A4" w:rsidRPr="005066A4" w:rsidRDefault="005066A4" w:rsidP="005D494B">
            <w:pPr>
              <w:pStyle w:val="ConsPlusNormal"/>
              <w:jc w:val="both"/>
              <w:rPr>
                <w:rFonts w:ascii="Times New Roman" w:hAnsi="Times New Roman" w:cs="Times New Roman"/>
                <w:szCs w:val="22"/>
              </w:rPr>
            </w:pPr>
            <w:r w:rsidRPr="005066A4">
              <w:rPr>
                <w:rFonts w:ascii="Times New Roman" w:hAnsi="Times New Roman" w:cs="Times New Roman"/>
                <w:szCs w:val="22"/>
              </w:rPr>
              <w:t>Возврат средств, размещенных на депозиты, в иные финансовые инструменты (возврат средств по договорам займа)</w:t>
            </w:r>
          </w:p>
        </w:tc>
        <w:tc>
          <w:tcPr>
            <w:tcW w:w="1340" w:type="dxa"/>
            <w:vAlign w:val="center"/>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0630</w:t>
            </w:r>
          </w:p>
        </w:tc>
      </w:tr>
      <w:tr w:rsidR="005066A4" w:rsidRPr="005D50AF" w:rsidTr="005D494B">
        <w:tc>
          <w:tcPr>
            <w:tcW w:w="623" w:type="dxa"/>
          </w:tcPr>
          <w:p w:rsidR="005066A4" w:rsidRPr="005066A4" w:rsidRDefault="005066A4" w:rsidP="005D494B">
            <w:pPr>
              <w:pStyle w:val="ConsPlusNormal"/>
              <w:jc w:val="center"/>
              <w:rPr>
                <w:rFonts w:ascii="Times New Roman" w:hAnsi="Times New Roman" w:cs="Times New Roman"/>
                <w:szCs w:val="22"/>
              </w:rPr>
            </w:pPr>
            <w:r>
              <w:rPr>
                <w:rFonts w:ascii="Times New Roman" w:hAnsi="Times New Roman" w:cs="Times New Roman"/>
                <w:szCs w:val="22"/>
                <w:lang w:val="en-US"/>
              </w:rPr>
              <w:t>6</w:t>
            </w:r>
            <w:r w:rsidRPr="005066A4">
              <w:rPr>
                <w:rFonts w:ascii="Times New Roman" w:hAnsi="Times New Roman" w:cs="Times New Roman"/>
                <w:szCs w:val="22"/>
              </w:rPr>
              <w:t>.</w:t>
            </w:r>
          </w:p>
        </w:tc>
        <w:tc>
          <w:tcPr>
            <w:tcW w:w="7597" w:type="dxa"/>
          </w:tcPr>
          <w:p w:rsidR="005066A4" w:rsidRPr="005066A4" w:rsidRDefault="005066A4" w:rsidP="005D494B">
            <w:pPr>
              <w:pStyle w:val="ConsPlusNormal"/>
              <w:jc w:val="both"/>
              <w:rPr>
                <w:rFonts w:ascii="Times New Roman" w:hAnsi="Times New Roman" w:cs="Times New Roman"/>
                <w:szCs w:val="22"/>
              </w:rPr>
            </w:pPr>
            <w:r w:rsidRPr="005066A4">
              <w:rPr>
                <w:rFonts w:ascii="Times New Roman" w:hAnsi="Times New Roman" w:cs="Times New Roman"/>
                <w:szCs w:val="22"/>
              </w:rPr>
              <w:t>Проценты, поступившие от размещения средств на депозитах, проценты, поступившие по договорам займа, а также доходы по операциям с иными финансовыми инструментами</w:t>
            </w:r>
          </w:p>
        </w:tc>
        <w:tc>
          <w:tcPr>
            <w:tcW w:w="1340" w:type="dxa"/>
            <w:vAlign w:val="center"/>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0631</w:t>
            </w:r>
          </w:p>
        </w:tc>
      </w:tr>
      <w:tr w:rsidR="005066A4" w:rsidRPr="007E6E15" w:rsidTr="005D494B">
        <w:tc>
          <w:tcPr>
            <w:tcW w:w="623" w:type="dxa"/>
            <w:vAlign w:val="center"/>
          </w:tcPr>
          <w:p w:rsidR="005066A4" w:rsidRPr="005066A4" w:rsidRDefault="005066A4" w:rsidP="005D494B">
            <w:pPr>
              <w:pStyle w:val="ConsPlusNormal"/>
              <w:jc w:val="center"/>
              <w:rPr>
                <w:rFonts w:ascii="Times New Roman" w:hAnsi="Times New Roman" w:cs="Times New Roman"/>
                <w:szCs w:val="22"/>
              </w:rPr>
            </w:pPr>
            <w:r>
              <w:rPr>
                <w:rFonts w:ascii="Times New Roman" w:hAnsi="Times New Roman" w:cs="Times New Roman"/>
                <w:szCs w:val="22"/>
                <w:lang w:val="en-US"/>
              </w:rPr>
              <w:t>7</w:t>
            </w:r>
            <w:r w:rsidRPr="005066A4">
              <w:rPr>
                <w:rFonts w:ascii="Times New Roman" w:hAnsi="Times New Roman" w:cs="Times New Roman"/>
                <w:szCs w:val="22"/>
              </w:rPr>
              <w:t>.</w:t>
            </w:r>
          </w:p>
        </w:tc>
        <w:tc>
          <w:tcPr>
            <w:tcW w:w="7597" w:type="dxa"/>
          </w:tcPr>
          <w:p w:rsidR="005066A4" w:rsidRPr="005066A4" w:rsidRDefault="005066A4" w:rsidP="005D494B">
            <w:pPr>
              <w:pStyle w:val="ConsPlusNormal"/>
              <w:jc w:val="both"/>
              <w:rPr>
                <w:rFonts w:ascii="Times New Roman" w:hAnsi="Times New Roman" w:cs="Times New Roman"/>
                <w:szCs w:val="22"/>
              </w:rPr>
            </w:pPr>
            <w:r w:rsidRPr="005066A4">
              <w:rPr>
                <w:rFonts w:ascii="Times New Roman" w:hAnsi="Times New Roman" w:cs="Times New Roman"/>
                <w:szCs w:val="22"/>
              </w:rPr>
              <w:t>Возврат дебиторской задолженности</w:t>
            </w:r>
          </w:p>
        </w:tc>
        <w:tc>
          <w:tcPr>
            <w:tcW w:w="1340" w:type="dxa"/>
            <w:vAlign w:val="center"/>
          </w:tcPr>
          <w:p w:rsidR="005066A4" w:rsidRPr="005066A4" w:rsidRDefault="005066A4" w:rsidP="005D494B">
            <w:pPr>
              <w:pStyle w:val="ConsPlusNormal"/>
              <w:jc w:val="center"/>
              <w:rPr>
                <w:rFonts w:ascii="Times New Roman" w:hAnsi="Times New Roman" w:cs="Times New Roman"/>
                <w:szCs w:val="22"/>
              </w:rPr>
            </w:pPr>
            <w:r w:rsidRPr="005066A4">
              <w:rPr>
                <w:rFonts w:ascii="Times New Roman" w:hAnsi="Times New Roman" w:cs="Times New Roman"/>
                <w:szCs w:val="22"/>
              </w:rPr>
              <w:t>2002</w:t>
            </w:r>
          </w:p>
        </w:tc>
      </w:tr>
    </w:tbl>
    <w:p w:rsidR="002E5B3E" w:rsidRPr="005066A4" w:rsidRDefault="0005567B" w:rsidP="008710EC">
      <w:pPr>
        <w:tabs>
          <w:tab w:val="left" w:pos="2767"/>
        </w:tabs>
        <w:rPr>
          <w:rFonts w:ascii="Times New Roman" w:hAnsi="Times New Roman" w:cs="Times New Roman"/>
          <w:sz w:val="28"/>
          <w:szCs w:val="28"/>
        </w:rPr>
      </w:pPr>
    </w:p>
    <w:sectPr w:rsidR="002E5B3E" w:rsidRPr="005066A4" w:rsidSect="005066A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066A4"/>
    <w:rsid w:val="0005567B"/>
    <w:rsid w:val="00105687"/>
    <w:rsid w:val="002527A8"/>
    <w:rsid w:val="002E5A52"/>
    <w:rsid w:val="002F7E56"/>
    <w:rsid w:val="003373A8"/>
    <w:rsid w:val="0041749B"/>
    <w:rsid w:val="005066A4"/>
    <w:rsid w:val="00550A48"/>
    <w:rsid w:val="00573AF6"/>
    <w:rsid w:val="00612DDA"/>
    <w:rsid w:val="00690F9D"/>
    <w:rsid w:val="007806C7"/>
    <w:rsid w:val="008710EC"/>
    <w:rsid w:val="00B47D4D"/>
    <w:rsid w:val="00BA77F5"/>
    <w:rsid w:val="00D22286"/>
    <w:rsid w:val="00F80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6A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1287</Characters>
  <Application>Microsoft Office Word</Application>
  <DocSecurity>0</DocSecurity>
  <Lines>10</Lines>
  <Paragraphs>3</Paragraphs>
  <ScaleCrop>false</ScaleCrop>
  <Company>Microsoft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Елена Александровна Каминская</cp:lastModifiedBy>
  <cp:revision>7</cp:revision>
  <cp:lastPrinted>2021-11-19T13:28:00Z</cp:lastPrinted>
  <dcterms:created xsi:type="dcterms:W3CDTF">2021-11-19T06:56:00Z</dcterms:created>
  <dcterms:modified xsi:type="dcterms:W3CDTF">2021-12-06T13:47:00Z</dcterms:modified>
</cp:coreProperties>
</file>